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472D1" w:rsidP="00832AD7">
      <w:pPr>
        <w:spacing w:after="0" w:line="240" w:lineRule="auto"/>
        <w:jc w:val="right"/>
        <w:rPr>
          <w:rFonts w:ascii="Times New Roman" w:eastAsia="Times New Roman" w:hAnsi="Times New Roman" w:cs="David"/>
          <w:sz w:val="16"/>
          <w:szCs w:val="16"/>
        </w:rPr>
      </w:pPr>
      <w:r>
        <w:rPr>
          <w:rFonts w:ascii="Times New Roman" w:eastAsia="Times New Roman" w:hAnsi="Times New Roman" w:cs="David" w:hint="cs"/>
          <w:sz w:val="16"/>
          <w:szCs w:val="16"/>
          <w:rtl/>
        </w:rPr>
        <w:t>18 ביוני 2023</w:t>
      </w:r>
    </w:p>
    <w:p w:rsidR="00983123" w:rsidRPr="00832AD7" w:rsidRDefault="00983123" w:rsidP="009472D1">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י"ד באדר ת</w:t>
      </w:r>
      <w:r w:rsidR="009472D1">
        <w:rPr>
          <w:rFonts w:ascii="Times New Roman" w:eastAsia="Times New Roman" w:hAnsi="Times New Roman" w:cs="David" w:hint="cs"/>
          <w:sz w:val="16"/>
          <w:szCs w:val="16"/>
          <w:rtl/>
        </w:rPr>
        <w:t>כ"ט בסיוון תשפ"ג</w:t>
      </w:r>
      <w:r w:rsidRPr="00832AD7">
        <w:rPr>
          <w:rFonts w:ascii="Times New Roman" w:eastAsia="Times New Roman" w:hAnsi="Times New Roman" w:cs="David" w:hint="cs"/>
          <w:sz w:val="16"/>
          <w:szCs w:val="16"/>
          <w:rtl/>
        </w:rPr>
        <w:fldChar w:fldCharType="end"/>
      </w:r>
    </w:p>
    <w:p w:rsidR="00A50E29" w:rsidRPr="00A50E29" w:rsidRDefault="00A50E29" w:rsidP="00A50E29">
      <w:pPr>
        <w:spacing w:after="0" w:line="240" w:lineRule="auto"/>
        <w:jc w:val="right"/>
        <w:rPr>
          <w:rFonts w:ascii="Times New Roman" w:eastAsia="Times New Roman" w:hAnsi="Times New Roman" w:cs="David"/>
          <w:sz w:val="24"/>
          <w:szCs w:val="24"/>
          <w:rtl/>
        </w:rPr>
      </w:pPr>
    </w:p>
    <w:p w:rsidR="00515986" w:rsidRPr="00186BD7" w:rsidRDefault="00515986" w:rsidP="009472D1">
      <w:pPr>
        <w:spacing w:after="120" w:line="360" w:lineRule="auto"/>
        <w:contextualSpacing/>
        <w:jc w:val="center"/>
        <w:rPr>
          <w:rFonts w:ascii="FrankRuehl" w:hAnsi="FrankRuehl" w:cs="FrankRuehl"/>
          <w:b/>
          <w:bCs/>
          <w:color w:val="323E4F" w:themeColor="text2" w:themeShade="BF"/>
          <w:sz w:val="28"/>
          <w:szCs w:val="28"/>
          <w:u w:val="single"/>
          <w:rtl/>
        </w:rPr>
      </w:pPr>
      <w:r w:rsidRPr="00186BD7">
        <w:rPr>
          <w:rFonts w:ascii="FrankRuehl" w:hAnsi="FrankRuehl" w:cs="FrankRuehl"/>
          <w:b/>
          <w:bCs/>
          <w:color w:val="323E4F" w:themeColor="text2" w:themeShade="BF"/>
          <w:sz w:val="28"/>
          <w:szCs w:val="28"/>
          <w:u w:val="single"/>
          <w:rtl/>
        </w:rPr>
        <w:t>תקציר פסק</w:t>
      </w:r>
      <w:r w:rsidRPr="00186BD7">
        <w:rPr>
          <w:rFonts w:ascii="FrankRuehl" w:hAnsi="FrankRuehl" w:cs="FrankRuehl" w:hint="cs"/>
          <w:b/>
          <w:bCs/>
          <w:color w:val="323E4F" w:themeColor="text2" w:themeShade="BF"/>
          <w:sz w:val="28"/>
          <w:szCs w:val="28"/>
          <w:u w:val="single"/>
          <w:rtl/>
        </w:rPr>
        <w:t>-</w:t>
      </w:r>
      <w:r w:rsidRPr="00186BD7">
        <w:rPr>
          <w:rFonts w:ascii="FrankRuehl" w:hAnsi="FrankRuehl" w:cs="FrankRuehl"/>
          <w:b/>
          <w:bCs/>
          <w:color w:val="323E4F" w:themeColor="text2" w:themeShade="BF"/>
          <w:sz w:val="28"/>
          <w:szCs w:val="28"/>
          <w:u w:val="single"/>
          <w:rtl/>
        </w:rPr>
        <w:t>דין</w:t>
      </w:r>
      <w:r w:rsidR="009472D1" w:rsidRPr="00186BD7">
        <w:rPr>
          <w:rFonts w:ascii="FrankRuehl" w:hAnsi="FrankRuehl" w:cs="FrankRuehl" w:hint="cs"/>
          <w:b/>
          <w:bCs/>
          <w:color w:val="323E4F" w:themeColor="text2" w:themeShade="BF"/>
          <w:sz w:val="28"/>
          <w:szCs w:val="28"/>
          <w:u w:val="single"/>
          <w:rtl/>
        </w:rPr>
        <w:t xml:space="preserve"> בע"פ 1779/22 אביעד משה נגד מדינת ישראל</w:t>
      </w:r>
    </w:p>
    <w:p w:rsidR="00A50E29" w:rsidRPr="00186BD7" w:rsidRDefault="00A50E29" w:rsidP="009472D1">
      <w:pPr>
        <w:spacing w:after="120" w:line="360" w:lineRule="auto"/>
        <w:contextualSpacing/>
        <w:jc w:val="center"/>
        <w:rPr>
          <w:rFonts w:ascii="FrankRuehl" w:hAnsi="FrankRuehl" w:cs="FrankRuehl"/>
          <w:color w:val="323E4F" w:themeColor="text2" w:themeShade="BF"/>
          <w:sz w:val="24"/>
          <w:szCs w:val="24"/>
          <w:u w:val="single"/>
          <w:rtl/>
        </w:rPr>
      </w:pPr>
      <w:r w:rsidRPr="00186BD7">
        <w:rPr>
          <w:rFonts w:ascii="FrankRuehl" w:hAnsi="FrankRuehl" w:cs="FrankRuehl"/>
          <w:b/>
          <w:bCs/>
          <w:color w:val="323E4F" w:themeColor="text2" w:themeShade="BF"/>
          <w:sz w:val="28"/>
          <w:szCs w:val="28"/>
          <w:u w:val="single"/>
          <w:rtl/>
        </w:rPr>
        <w:t xml:space="preserve">הרכב בראשות השופט יוסף אלרון, השופט </w:t>
      </w:r>
      <w:r w:rsidR="009472D1" w:rsidRPr="00186BD7">
        <w:rPr>
          <w:rFonts w:ascii="FrankRuehl" w:hAnsi="FrankRuehl" w:cs="FrankRuehl" w:hint="cs"/>
          <w:b/>
          <w:bCs/>
          <w:color w:val="323E4F" w:themeColor="text2" w:themeShade="BF"/>
          <w:sz w:val="28"/>
          <w:szCs w:val="28"/>
          <w:u w:val="single"/>
          <w:rtl/>
        </w:rPr>
        <w:t xml:space="preserve">אלכס </w:t>
      </w:r>
      <w:r w:rsidRPr="00186BD7">
        <w:rPr>
          <w:rFonts w:ascii="FrankRuehl" w:hAnsi="FrankRuehl" w:cs="FrankRuehl"/>
          <w:b/>
          <w:bCs/>
          <w:color w:val="323E4F" w:themeColor="text2" w:themeShade="BF"/>
          <w:sz w:val="28"/>
          <w:szCs w:val="28"/>
          <w:u w:val="single"/>
          <w:rtl/>
        </w:rPr>
        <w:t>שטיין והשופט</w:t>
      </w:r>
      <w:r w:rsidR="009472D1" w:rsidRPr="00186BD7">
        <w:rPr>
          <w:rFonts w:ascii="FrankRuehl" w:hAnsi="FrankRuehl" w:cs="FrankRuehl" w:hint="cs"/>
          <w:b/>
          <w:bCs/>
          <w:color w:val="323E4F" w:themeColor="text2" w:themeShade="BF"/>
          <w:sz w:val="28"/>
          <w:szCs w:val="28"/>
          <w:u w:val="single"/>
          <w:rtl/>
        </w:rPr>
        <w:t>ת גילה כנפי שטייניץ</w:t>
      </w:r>
    </w:p>
    <w:p w:rsidR="009472D1" w:rsidRPr="00636AF8" w:rsidRDefault="009472D1" w:rsidP="009472D1">
      <w:pPr>
        <w:pStyle w:val="Ruller40"/>
        <w:rPr>
          <w:rFonts w:ascii="Calibri" w:eastAsia="Calibri" w:hAnsi="Calibri" w:cs="David"/>
          <w:b/>
          <w:bCs/>
          <w:spacing w:val="0"/>
          <w:szCs w:val="24"/>
          <w:rtl/>
        </w:rPr>
      </w:pPr>
      <w:r>
        <w:rPr>
          <w:rFonts w:ascii="Calibri" w:eastAsia="Calibri" w:hAnsi="Calibri" w:cs="David" w:hint="cs"/>
          <w:b/>
          <w:bCs/>
          <w:spacing w:val="0"/>
          <w:szCs w:val="24"/>
          <w:rtl/>
        </w:rPr>
        <w:t xml:space="preserve">בית המשפט העליון, בפסק דין של ראש ההרכב </w:t>
      </w:r>
      <w:r>
        <w:rPr>
          <w:rFonts w:ascii="Calibri" w:eastAsia="Calibri" w:hAnsi="Calibri" w:cs="David"/>
          <w:b/>
          <w:bCs/>
          <w:spacing w:val="0"/>
          <w:szCs w:val="24"/>
          <w:rtl/>
        </w:rPr>
        <w:t>–</w:t>
      </w:r>
      <w:r>
        <w:rPr>
          <w:rFonts w:ascii="Calibri" w:eastAsia="Calibri" w:hAnsi="Calibri" w:cs="David" w:hint="cs"/>
          <w:b/>
          <w:bCs/>
          <w:spacing w:val="0"/>
          <w:szCs w:val="24"/>
          <w:rtl/>
        </w:rPr>
        <w:t xml:space="preserve"> השופט י' אלרון ובהסכמת השופט א' שטיין והשופטת ג' כנפי-שטייניץ, </w:t>
      </w:r>
      <w:r w:rsidRPr="00636AF8">
        <w:rPr>
          <w:rFonts w:ascii="Calibri" w:eastAsia="Calibri" w:hAnsi="Calibri" w:cs="David" w:hint="cs"/>
          <w:b/>
          <w:bCs/>
          <w:spacing w:val="0"/>
          <w:szCs w:val="24"/>
          <w:rtl/>
        </w:rPr>
        <w:t xml:space="preserve">דחה </w:t>
      </w:r>
      <w:r>
        <w:rPr>
          <w:rFonts w:ascii="Calibri" w:eastAsia="Calibri" w:hAnsi="Calibri" w:cs="David" w:hint="cs"/>
          <w:b/>
          <w:bCs/>
          <w:spacing w:val="0"/>
          <w:szCs w:val="24"/>
          <w:rtl/>
        </w:rPr>
        <w:t xml:space="preserve">פה אחד </w:t>
      </w:r>
      <w:r w:rsidRPr="00636AF8">
        <w:rPr>
          <w:rFonts w:ascii="Calibri" w:eastAsia="Calibri" w:hAnsi="Calibri" w:cs="David" w:hint="cs"/>
          <w:b/>
          <w:bCs/>
          <w:spacing w:val="0"/>
          <w:szCs w:val="24"/>
          <w:rtl/>
        </w:rPr>
        <w:t xml:space="preserve">את ערעורו של אביעד משה על הרשעתו בניסיון לרצח רעייתו דאז </w:t>
      </w:r>
      <w:r w:rsidRPr="00636AF8">
        <w:rPr>
          <w:rFonts w:ascii="Calibri" w:eastAsia="Calibri" w:hAnsi="Calibri" w:cs="David"/>
          <w:b/>
          <w:bCs/>
          <w:spacing w:val="0"/>
          <w:szCs w:val="24"/>
          <w:rtl/>
        </w:rPr>
        <w:t>–</w:t>
      </w:r>
      <w:r w:rsidRPr="00636AF8">
        <w:rPr>
          <w:rFonts w:ascii="Calibri" w:eastAsia="Calibri" w:hAnsi="Calibri" w:cs="David" w:hint="cs"/>
          <w:b/>
          <w:bCs/>
          <w:spacing w:val="0"/>
          <w:szCs w:val="24"/>
          <w:rtl/>
        </w:rPr>
        <w:t xml:space="preserve"> שירה איסקוב, ובעבירות של חבלה חמורה בנסיבות מחמירות והתעללות בקטין או בחסר ישע. ערעורו על חומרת העונש שנגזר עליו נדחה אף הוא. </w:t>
      </w:r>
    </w:p>
    <w:p w:rsidR="009472D1" w:rsidRPr="00822F5A" w:rsidRDefault="009472D1" w:rsidP="009472D1">
      <w:pPr>
        <w:pStyle w:val="Ruller4"/>
        <w:numPr>
          <w:ilvl w:val="0"/>
          <w:numId w:val="0"/>
        </w:numPr>
        <w:rPr>
          <w:rFonts w:cs="David"/>
          <w:b/>
          <w:bCs/>
          <w:sz w:val="14"/>
          <w:szCs w:val="14"/>
          <w:rtl/>
        </w:rPr>
      </w:pPr>
    </w:p>
    <w:p w:rsidR="009472D1" w:rsidRDefault="009472D1" w:rsidP="009472D1">
      <w:pPr>
        <w:pStyle w:val="Ruller4"/>
        <w:numPr>
          <w:ilvl w:val="0"/>
          <w:numId w:val="0"/>
        </w:numPr>
        <w:rPr>
          <w:rFonts w:ascii="Calibri" w:eastAsia="Calibri" w:hAnsi="Calibri" w:cs="David"/>
          <w:spacing w:val="0"/>
          <w:szCs w:val="24"/>
          <w:rtl/>
        </w:rPr>
      </w:pPr>
      <w:r>
        <w:rPr>
          <w:rFonts w:ascii="Calibri" w:eastAsia="Calibri" w:hAnsi="Calibri" w:cs="David" w:hint="cs"/>
          <w:spacing w:val="0"/>
          <w:szCs w:val="24"/>
          <w:rtl/>
        </w:rPr>
        <w:t>תחילה, נדחתה בקשת באי-כוחו של</w:t>
      </w:r>
      <w:r w:rsidRPr="00636AF8">
        <w:rPr>
          <w:rFonts w:ascii="Calibri" w:eastAsia="Calibri" w:hAnsi="Calibri" w:cs="David" w:hint="cs"/>
          <w:spacing w:val="0"/>
          <w:szCs w:val="24"/>
          <w:rtl/>
        </w:rPr>
        <w:t xml:space="preserve"> משה להוספת ראיה </w:t>
      </w:r>
      <w:r w:rsidRPr="00636AF8">
        <w:rPr>
          <w:rFonts w:ascii="Calibri" w:eastAsia="Calibri" w:hAnsi="Calibri" w:cs="David"/>
          <w:spacing w:val="0"/>
          <w:szCs w:val="24"/>
          <w:rtl/>
        </w:rPr>
        <w:t>–</w:t>
      </w:r>
      <w:r w:rsidRPr="00636AF8">
        <w:rPr>
          <w:rFonts w:ascii="Calibri" w:eastAsia="Calibri" w:hAnsi="Calibri" w:cs="David" w:hint="cs"/>
          <w:spacing w:val="0"/>
          <w:szCs w:val="24"/>
          <w:rtl/>
        </w:rPr>
        <w:t xml:space="preserve"> חוות דעת פסיכיאטרית. נקבע כי אין ממש בטענה לכשל בייצוגו של משה תוך שהודגש כי ההגנה בחרה, באופן מושכל, שלא להגיש חוות דעת פסיכיאטרית ולא למצות קו הגנה זה. </w:t>
      </w:r>
      <w:r>
        <w:rPr>
          <w:rFonts w:ascii="Calibri" w:eastAsia="Calibri" w:hAnsi="Calibri" w:cs="David" w:hint="cs"/>
          <w:spacing w:val="0"/>
          <w:szCs w:val="24"/>
          <w:rtl/>
        </w:rPr>
        <w:t>מטעם זה</w:t>
      </w:r>
      <w:r w:rsidRPr="00636AF8">
        <w:rPr>
          <w:rFonts w:ascii="Calibri" w:eastAsia="Calibri" w:hAnsi="Calibri" w:cs="David" w:hint="cs"/>
          <w:spacing w:val="0"/>
          <w:szCs w:val="24"/>
          <w:rtl/>
        </w:rPr>
        <w:t xml:space="preserve">, בשילוב עם שיקולי סופיות הדיון והעובדה שחוות הדעת אינה בעלת משקל סגולי של ממש </w:t>
      </w:r>
      <w:r w:rsidRPr="00636AF8">
        <w:rPr>
          <w:rFonts w:ascii="Calibri" w:eastAsia="Calibri" w:hAnsi="Calibri" w:cs="David"/>
          <w:spacing w:val="0"/>
          <w:szCs w:val="24"/>
          <w:rtl/>
        </w:rPr>
        <w:t>–</w:t>
      </w:r>
      <w:r w:rsidRPr="00636AF8">
        <w:rPr>
          <w:rFonts w:ascii="Calibri" w:eastAsia="Calibri" w:hAnsi="Calibri" w:cs="David" w:hint="cs"/>
          <w:spacing w:val="0"/>
          <w:szCs w:val="24"/>
          <w:rtl/>
        </w:rPr>
        <w:t xml:space="preserve"> הבקשה נדחתה. עוד נקבע, כי כוונתו של משה להביא למותה של איסקוב הוכחה מעבר לכל ספק סביר.</w:t>
      </w:r>
    </w:p>
    <w:p w:rsidR="009472D1" w:rsidRPr="00636AF8" w:rsidRDefault="009472D1" w:rsidP="009472D1">
      <w:pPr>
        <w:pStyle w:val="Ruller4"/>
        <w:numPr>
          <w:ilvl w:val="0"/>
          <w:numId w:val="0"/>
        </w:numPr>
        <w:rPr>
          <w:rFonts w:ascii="Calibri" w:eastAsia="Calibri" w:hAnsi="Calibri" w:cs="David"/>
          <w:spacing w:val="0"/>
          <w:szCs w:val="24"/>
          <w:rtl/>
        </w:rPr>
      </w:pPr>
      <w:r w:rsidRPr="00636AF8">
        <w:rPr>
          <w:rFonts w:ascii="Calibri" w:eastAsia="Calibri" w:hAnsi="Calibri" w:cs="David" w:hint="cs"/>
          <w:spacing w:val="0"/>
          <w:szCs w:val="24"/>
          <w:rtl/>
        </w:rPr>
        <w:t xml:space="preserve">טענותיו של משה לעניין הרשעתו בהתעללות בבנם המשותף נדחו גם כן, תוך שהשופט אלרון מנמק כי בהתחשב בפסיקה קודמת הוא אינו סבור שבנסיבות אלו הרשעתו בעבירה זו היא תקדימית כנטען. </w:t>
      </w:r>
      <w:r>
        <w:rPr>
          <w:rFonts w:ascii="Calibri" w:eastAsia="Calibri" w:hAnsi="Calibri" w:cs="David" w:hint="cs"/>
          <w:spacing w:val="0"/>
          <w:szCs w:val="24"/>
          <w:rtl/>
        </w:rPr>
        <w:t>משכך קבע כי</w:t>
      </w:r>
      <w:r w:rsidRPr="00636AF8">
        <w:rPr>
          <w:rFonts w:ascii="Calibri" w:eastAsia="Calibri" w:hAnsi="Calibri" w:cs="David" w:hint="cs"/>
          <w:spacing w:val="0"/>
          <w:szCs w:val="24"/>
          <w:rtl/>
        </w:rPr>
        <w:t xml:space="preserve">: "בחירת המערער שלא לחדול ממעשיו או להרחיק את הילד מהזירה, כפתה עליו, הלכה למעשה, לא רק להיות עד לזוועה שהתחוללה אלא גם להיות חלק מההתרחשות עצמה. בפרט, בהתחשב בפערי הכוחות העצומים שבין המערער לילד והתלות המוחלטת שלו בהוריו בגיל זה." השופט אלרון הוסיף וקבע כי לא נפל פגם בכך שמשה הורשע בעבירת ניסיון לרצח וגם בעבירת חבלה חמורה בנסיבות מחמירות. </w:t>
      </w:r>
    </w:p>
    <w:p w:rsidR="009472D1" w:rsidRPr="00636AF8" w:rsidRDefault="009472D1" w:rsidP="009472D1">
      <w:pPr>
        <w:pStyle w:val="Ruller4"/>
        <w:numPr>
          <w:ilvl w:val="0"/>
          <w:numId w:val="0"/>
        </w:numPr>
        <w:rPr>
          <w:rFonts w:ascii="Calibri" w:eastAsia="Calibri" w:hAnsi="Calibri" w:cs="David"/>
          <w:spacing w:val="0"/>
          <w:szCs w:val="24"/>
          <w:rtl/>
        </w:rPr>
      </w:pPr>
      <w:r w:rsidRPr="00636AF8">
        <w:rPr>
          <w:rFonts w:ascii="Calibri" w:eastAsia="Calibri" w:hAnsi="Calibri" w:cs="David" w:hint="cs"/>
          <w:spacing w:val="0"/>
          <w:szCs w:val="24"/>
          <w:rtl/>
        </w:rPr>
        <w:t>ביחס לטענותיו של משה על חומרת עונשו, השופט אלרון נימק כי ישנם מספר היבטים ה</w:t>
      </w:r>
      <w:r>
        <w:rPr>
          <w:rFonts w:ascii="Calibri" w:eastAsia="Calibri" w:hAnsi="Calibri" w:cs="David" w:hint="cs"/>
          <w:spacing w:val="0"/>
          <w:szCs w:val="24"/>
          <w:rtl/>
        </w:rPr>
        <w:t xml:space="preserve">מצדיקים ענישה ברף הגבוה. בכלל זה, </w:t>
      </w:r>
      <w:r w:rsidRPr="00636AF8">
        <w:rPr>
          <w:rFonts w:ascii="Calibri" w:eastAsia="Calibri" w:hAnsi="Calibri" w:cs="David" w:hint="cs"/>
          <w:spacing w:val="0"/>
          <w:szCs w:val="24"/>
          <w:rtl/>
        </w:rPr>
        <w:t>מדיניות הענישה המחמירה הנהוגה בגין עבירות אלימות בין בני זוג</w:t>
      </w:r>
      <w:r>
        <w:rPr>
          <w:rFonts w:ascii="Calibri" w:eastAsia="Calibri" w:hAnsi="Calibri" w:cs="David" w:hint="cs"/>
          <w:spacing w:val="0"/>
          <w:szCs w:val="24"/>
          <w:rtl/>
        </w:rPr>
        <w:t xml:space="preserve">. הודגש, כי </w:t>
      </w:r>
      <w:r w:rsidRPr="00FC1F95">
        <w:rPr>
          <w:rFonts w:ascii="Calibri" w:eastAsia="Calibri" w:hAnsi="Calibri" w:cs="David"/>
          <w:spacing w:val="0"/>
          <w:szCs w:val="24"/>
          <w:rtl/>
        </w:rPr>
        <w:t xml:space="preserve">אמירתו החוזרת ונשנית של בית </w:t>
      </w:r>
      <w:r>
        <w:rPr>
          <w:rFonts w:ascii="Calibri" w:eastAsia="Calibri" w:hAnsi="Calibri" w:cs="David" w:hint="cs"/>
          <w:spacing w:val="0"/>
          <w:szCs w:val="24"/>
          <w:rtl/>
        </w:rPr>
        <w:t>המשפט העליון</w:t>
      </w:r>
      <w:r w:rsidRPr="00FC1F95">
        <w:rPr>
          <w:rFonts w:ascii="Calibri" w:eastAsia="Calibri" w:hAnsi="Calibri" w:cs="David"/>
          <w:spacing w:val="0"/>
          <w:szCs w:val="24"/>
          <w:rtl/>
        </w:rPr>
        <w:t xml:space="preserve"> בדבר הצורך בענישה מחמירה בגין עבירות אלימות ב</w:t>
      </w:r>
      <w:r>
        <w:rPr>
          <w:rFonts w:ascii="Calibri" w:eastAsia="Calibri" w:hAnsi="Calibri" w:cs="David"/>
          <w:spacing w:val="0"/>
          <w:szCs w:val="24"/>
          <w:rtl/>
        </w:rPr>
        <w:t>ין בני-זוג, אינה מן השפה ולחוץ</w:t>
      </w:r>
      <w:r>
        <w:rPr>
          <w:rFonts w:ascii="Calibri" w:eastAsia="Calibri" w:hAnsi="Calibri" w:cs="David" w:hint="cs"/>
          <w:spacing w:val="0"/>
          <w:szCs w:val="24"/>
          <w:rtl/>
        </w:rPr>
        <w:t xml:space="preserve"> ו</w:t>
      </w:r>
      <w:r w:rsidRPr="00FC1F95">
        <w:rPr>
          <w:rFonts w:ascii="Calibri" w:eastAsia="Calibri" w:hAnsi="Calibri" w:cs="David"/>
          <w:spacing w:val="0"/>
          <w:szCs w:val="24"/>
          <w:rtl/>
        </w:rPr>
        <w:t>מדובר בכורח המציאות</w:t>
      </w:r>
      <w:r>
        <w:rPr>
          <w:rFonts w:ascii="Calibri" w:eastAsia="Calibri" w:hAnsi="Calibri" w:cs="David" w:hint="cs"/>
          <w:spacing w:val="0"/>
          <w:szCs w:val="24"/>
          <w:rtl/>
        </w:rPr>
        <w:t xml:space="preserve">. עוד צוינו חומרת מעשי האלימות והימשכותם, וכן הנזק הרב שנגרם </w:t>
      </w:r>
      <w:proofErr w:type="spellStart"/>
      <w:r>
        <w:rPr>
          <w:rFonts w:ascii="Calibri" w:eastAsia="Calibri" w:hAnsi="Calibri" w:cs="David" w:hint="cs"/>
          <w:spacing w:val="0"/>
          <w:szCs w:val="24"/>
          <w:rtl/>
        </w:rPr>
        <w:t>לאיסקוב</w:t>
      </w:r>
      <w:proofErr w:type="spellEnd"/>
      <w:r>
        <w:rPr>
          <w:rFonts w:ascii="Calibri" w:eastAsia="Calibri" w:hAnsi="Calibri" w:cs="David" w:hint="cs"/>
          <w:spacing w:val="0"/>
          <w:szCs w:val="24"/>
          <w:rtl/>
        </w:rPr>
        <w:t xml:space="preserve"> ו</w:t>
      </w:r>
      <w:r w:rsidRPr="00636AF8">
        <w:rPr>
          <w:rFonts w:ascii="Calibri" w:eastAsia="Calibri" w:hAnsi="Calibri" w:cs="David" w:hint="cs"/>
          <w:spacing w:val="0"/>
          <w:szCs w:val="24"/>
          <w:rtl/>
        </w:rPr>
        <w:t xml:space="preserve">לבנם </w:t>
      </w:r>
      <w:r>
        <w:rPr>
          <w:rFonts w:ascii="Calibri" w:eastAsia="Calibri" w:hAnsi="Calibri" w:cs="David" w:hint="cs"/>
          <w:spacing w:val="0"/>
          <w:szCs w:val="24"/>
          <w:rtl/>
        </w:rPr>
        <w:t>המשותף</w:t>
      </w:r>
      <w:r w:rsidRPr="00636AF8">
        <w:rPr>
          <w:rFonts w:ascii="Calibri" w:eastAsia="Calibri" w:hAnsi="Calibri" w:cs="David" w:hint="cs"/>
          <w:spacing w:val="0"/>
          <w:szCs w:val="24"/>
          <w:rtl/>
        </w:rPr>
        <w:t>. פסק הדין נחתם בדבריו של השופט אלרון:</w:t>
      </w:r>
    </w:p>
    <w:p w:rsidR="009472D1" w:rsidRDefault="009472D1" w:rsidP="009472D1">
      <w:pPr>
        <w:pStyle w:val="Ruller40"/>
        <w:rPr>
          <w:rFonts w:ascii="Garamond" w:hAnsi="Garamond" w:cs="David"/>
          <w:sz w:val="24"/>
          <w:szCs w:val="24"/>
          <w:rtl/>
        </w:rPr>
      </w:pPr>
    </w:p>
    <w:p w:rsidR="009472D1" w:rsidRPr="00636AF8" w:rsidRDefault="009472D1" w:rsidP="009472D1">
      <w:pPr>
        <w:pStyle w:val="Ruller40"/>
        <w:spacing w:line="240" w:lineRule="auto"/>
        <w:ind w:left="720" w:right="851"/>
        <w:rPr>
          <w:rFonts w:ascii="Calibri" w:eastAsia="Calibri" w:hAnsi="Calibri" w:cs="David"/>
          <w:b/>
          <w:bCs/>
          <w:spacing w:val="0"/>
          <w:szCs w:val="24"/>
          <w:rtl/>
        </w:rPr>
      </w:pPr>
      <w:r w:rsidRPr="00636AF8">
        <w:rPr>
          <w:rFonts w:ascii="Calibri" w:eastAsia="Calibri" w:hAnsi="Calibri" w:cs="David" w:hint="cs"/>
          <w:b/>
          <w:bCs/>
          <w:spacing w:val="0"/>
          <w:szCs w:val="24"/>
          <w:rtl/>
        </w:rPr>
        <w:t xml:space="preserve">"אף אני הקשבתי להקלטת האירוע </w:t>
      </w:r>
      <w:r>
        <w:rPr>
          <w:rFonts w:ascii="Calibri" w:eastAsia="Calibri" w:hAnsi="Calibri" w:cs="David" w:hint="cs"/>
          <w:b/>
          <w:bCs/>
          <w:spacing w:val="0"/>
          <w:szCs w:val="24"/>
          <w:rtl/>
        </w:rPr>
        <w:t>[</w:t>
      </w:r>
      <w:r w:rsidRPr="00636AF8">
        <w:rPr>
          <w:rFonts w:ascii="Calibri" w:eastAsia="Calibri" w:hAnsi="Calibri" w:cs="David" w:hint="cs"/>
          <w:b/>
          <w:bCs/>
          <w:spacing w:val="0"/>
          <w:szCs w:val="24"/>
          <w:rtl/>
        </w:rPr>
        <w:t>...</w:t>
      </w:r>
      <w:r>
        <w:rPr>
          <w:rFonts w:ascii="Calibri" w:eastAsia="Calibri" w:hAnsi="Calibri" w:cs="David" w:hint="cs"/>
          <w:b/>
          <w:bCs/>
          <w:spacing w:val="0"/>
          <w:szCs w:val="24"/>
          <w:rtl/>
        </w:rPr>
        <w:t>]</w:t>
      </w:r>
      <w:r w:rsidRPr="00636AF8">
        <w:rPr>
          <w:rFonts w:ascii="Calibri" w:eastAsia="Calibri" w:hAnsi="Calibri" w:cs="David" w:hint="cs"/>
          <w:b/>
          <w:bCs/>
          <w:spacing w:val="0"/>
          <w:szCs w:val="24"/>
          <w:rtl/>
        </w:rPr>
        <w:t xml:space="preserve"> המתעדת חוויה מזעזעת. הלמות המערוך אשר צליל פגיעותיו בגולגולתה של המתלוננת ובחלקי גופה האחרים עדיין נשמעות באוזניי כאילו התקבעו להן מאז. מתערבבים להם צלילי החבטות, זעקות המתלוננת ובכיו של הילד הניצב חסר אונים למול השבר הנורא של אביו החובט </w:t>
      </w:r>
      <w:proofErr w:type="spellStart"/>
      <w:r w:rsidRPr="00636AF8">
        <w:rPr>
          <w:rFonts w:ascii="Calibri" w:eastAsia="Calibri" w:hAnsi="Calibri" w:cs="David" w:hint="cs"/>
          <w:b/>
          <w:bCs/>
          <w:spacing w:val="0"/>
          <w:szCs w:val="24"/>
          <w:rtl/>
        </w:rPr>
        <w:t>באימו</w:t>
      </w:r>
      <w:proofErr w:type="spellEnd"/>
      <w:r w:rsidRPr="00636AF8">
        <w:rPr>
          <w:rFonts w:ascii="Calibri" w:eastAsia="Calibri" w:hAnsi="Calibri" w:cs="David" w:hint="cs"/>
          <w:b/>
          <w:bCs/>
          <w:spacing w:val="0"/>
          <w:szCs w:val="24"/>
          <w:rtl/>
        </w:rPr>
        <w:t xml:space="preserve"> לקול זעקותיה, בעוד היא מבקשת את רחמיו, והוא ממשיך במעשיו ללא רחם. מחזה נורא שבנוראים. בשנותיי על כס השיפוט דנתי במאות, אם לא באלפי, תיקי אלימות קשים ופשע חמור </w:t>
      </w:r>
      <w:r w:rsidRPr="00636AF8">
        <w:rPr>
          <w:rFonts w:ascii="Calibri" w:eastAsia="Calibri" w:hAnsi="Calibri" w:cs="David"/>
          <w:b/>
          <w:bCs/>
          <w:spacing w:val="0"/>
          <w:szCs w:val="24"/>
          <w:rtl/>
        </w:rPr>
        <w:t>–</w:t>
      </w:r>
      <w:r w:rsidRPr="00636AF8">
        <w:rPr>
          <w:rFonts w:ascii="Calibri" w:eastAsia="Calibri" w:hAnsi="Calibri" w:cs="David" w:hint="cs"/>
          <w:b/>
          <w:bCs/>
          <w:spacing w:val="0"/>
          <w:szCs w:val="24"/>
          <w:rtl/>
        </w:rPr>
        <w:t xml:space="preserve"> ותיעוד של תקיפה כה אלימה, כה ממושכת, כה אכזרית </w:t>
      </w:r>
      <w:r w:rsidRPr="00636AF8">
        <w:rPr>
          <w:rFonts w:ascii="Calibri" w:eastAsia="Calibri" w:hAnsi="Calibri" w:cs="David"/>
          <w:b/>
          <w:bCs/>
          <w:spacing w:val="0"/>
          <w:szCs w:val="24"/>
          <w:rtl/>
        </w:rPr>
        <w:t>–</w:t>
      </w:r>
      <w:r w:rsidRPr="00636AF8">
        <w:rPr>
          <w:rFonts w:ascii="Calibri" w:eastAsia="Calibri" w:hAnsi="Calibri" w:cs="David" w:hint="cs"/>
          <w:b/>
          <w:bCs/>
          <w:spacing w:val="0"/>
          <w:szCs w:val="24"/>
          <w:rtl/>
        </w:rPr>
        <w:t xml:space="preserve"> איני זוכר </w:t>
      </w:r>
      <w:r>
        <w:rPr>
          <w:rFonts w:ascii="Calibri" w:eastAsia="Calibri" w:hAnsi="Calibri" w:cs="David" w:hint="cs"/>
          <w:b/>
          <w:bCs/>
          <w:spacing w:val="0"/>
          <w:szCs w:val="24"/>
          <w:rtl/>
        </w:rPr>
        <w:t>[</w:t>
      </w:r>
      <w:r w:rsidRPr="00636AF8">
        <w:rPr>
          <w:rFonts w:ascii="Calibri" w:eastAsia="Calibri" w:hAnsi="Calibri" w:cs="David" w:hint="cs"/>
          <w:b/>
          <w:bCs/>
          <w:spacing w:val="0"/>
          <w:szCs w:val="24"/>
          <w:rtl/>
        </w:rPr>
        <w:t>...</w:t>
      </w:r>
      <w:r>
        <w:rPr>
          <w:rFonts w:ascii="Calibri" w:eastAsia="Calibri" w:hAnsi="Calibri" w:cs="David" w:hint="cs"/>
          <w:b/>
          <w:bCs/>
          <w:spacing w:val="0"/>
          <w:szCs w:val="24"/>
          <w:rtl/>
        </w:rPr>
        <w:t>]</w:t>
      </w:r>
      <w:r w:rsidRPr="00636AF8">
        <w:rPr>
          <w:rFonts w:ascii="Calibri" w:eastAsia="Calibri" w:hAnsi="Calibri" w:cs="David" w:hint="cs"/>
          <w:b/>
          <w:bCs/>
          <w:spacing w:val="0"/>
          <w:szCs w:val="24"/>
          <w:rtl/>
        </w:rPr>
        <w:t xml:space="preserve"> המערער ראוי לכל שנת מאסר שנגזרה עליו."</w:t>
      </w:r>
    </w:p>
    <w:p w:rsidR="00A50E29" w:rsidRDefault="00A50E29" w:rsidP="00515986">
      <w:pPr>
        <w:spacing w:after="120" w:line="360" w:lineRule="auto"/>
        <w:jc w:val="both"/>
        <w:rPr>
          <w:rFonts w:ascii="FrankRuehl" w:hAnsi="FrankRuehl" w:cs="FrankRuehl"/>
          <w:color w:val="323E4F" w:themeColor="text2" w:themeShade="BF"/>
          <w:sz w:val="26"/>
          <w:szCs w:val="26"/>
          <w:rtl/>
        </w:rPr>
      </w:pPr>
    </w:p>
    <w:p w:rsidR="00515986" w:rsidRPr="009472D1" w:rsidRDefault="00515986" w:rsidP="009472D1">
      <w:pPr>
        <w:spacing w:after="120" w:line="360" w:lineRule="auto"/>
        <w:jc w:val="center"/>
        <w:rPr>
          <w:rFonts w:ascii="FrankRuehl" w:hAnsi="FrankRuehl" w:cs="FrankRuehl"/>
          <w:b/>
          <w:bCs/>
          <w:color w:val="323E4F" w:themeColor="text2" w:themeShade="BF"/>
          <w:sz w:val="26"/>
          <w:szCs w:val="26"/>
          <w:rtl/>
        </w:rPr>
      </w:pPr>
      <w:r w:rsidRPr="009F00A1">
        <w:rPr>
          <w:rFonts w:ascii="FrankRuehl" w:hAnsi="FrankRuehl" w:cs="FrankRuehl" w:hint="cs"/>
          <w:b/>
          <w:bCs/>
          <w:color w:val="323E4F" w:themeColor="text2" w:themeShade="BF"/>
          <w:sz w:val="26"/>
          <w:szCs w:val="26"/>
          <w:rtl/>
        </w:rPr>
        <w:t>***</w:t>
      </w:r>
      <w:r>
        <w:rPr>
          <w:rFonts w:ascii="FrankRuehl" w:hAnsi="FrankRuehl" w:cs="FrankRuehl" w:hint="cs"/>
          <w:b/>
          <w:bCs/>
          <w:color w:val="323E4F" w:themeColor="text2" w:themeShade="BF"/>
          <w:sz w:val="26"/>
          <w:szCs w:val="26"/>
          <w:rtl/>
        </w:rPr>
        <w:t xml:space="preserve"> </w:t>
      </w:r>
      <w:r w:rsidRPr="009F00A1">
        <w:rPr>
          <w:rFonts w:ascii="FrankRuehl" w:hAnsi="FrankRuehl" w:cs="FrankRuehl"/>
          <w:b/>
          <w:bCs/>
          <w:color w:val="323E4F" w:themeColor="text2" w:themeShade="BF"/>
          <w:sz w:val="26"/>
          <w:szCs w:val="26"/>
          <w:rtl/>
        </w:rPr>
        <w:t>התקציר אינו בא להחליף את פסק</w:t>
      </w:r>
      <w:r w:rsidRPr="009F00A1">
        <w:rPr>
          <w:rFonts w:ascii="FrankRuehl" w:hAnsi="FrankRuehl" w:cs="FrankRuehl" w:hint="cs"/>
          <w:b/>
          <w:bCs/>
          <w:color w:val="323E4F" w:themeColor="text2" w:themeShade="BF"/>
          <w:sz w:val="26"/>
          <w:szCs w:val="26"/>
          <w:rtl/>
        </w:rPr>
        <w:t>-</w:t>
      </w:r>
      <w:r w:rsidRPr="009F00A1">
        <w:rPr>
          <w:rFonts w:ascii="FrankRuehl" w:hAnsi="FrankRuehl" w:cs="FrankRuehl"/>
          <w:b/>
          <w:bCs/>
          <w:color w:val="323E4F" w:themeColor="text2" w:themeShade="BF"/>
          <w:sz w:val="26"/>
          <w:szCs w:val="26"/>
          <w:rtl/>
        </w:rPr>
        <w:t>הדין, הנוסח המחייב הוא זה של פסק-הדין המלא</w:t>
      </w:r>
      <w:r>
        <w:rPr>
          <w:rFonts w:ascii="FrankRuehl" w:hAnsi="FrankRuehl" w:cs="FrankRuehl" w:hint="cs"/>
          <w:b/>
          <w:bCs/>
          <w:color w:val="323E4F" w:themeColor="text2" w:themeShade="BF"/>
          <w:sz w:val="26"/>
          <w:szCs w:val="26"/>
          <w:rtl/>
        </w:rPr>
        <w:t xml:space="preserve"> </w:t>
      </w:r>
      <w:r w:rsidRPr="009F00A1">
        <w:rPr>
          <w:rFonts w:ascii="FrankRuehl" w:hAnsi="FrankRuehl" w:cs="FrankRuehl" w:hint="cs"/>
          <w:b/>
          <w:bCs/>
          <w:color w:val="323E4F" w:themeColor="text2" w:themeShade="BF"/>
          <w:sz w:val="26"/>
          <w:szCs w:val="26"/>
          <w:rtl/>
        </w:rPr>
        <w:t>***</w:t>
      </w:r>
    </w:p>
    <w:sectPr w:rsidR="00515986" w:rsidRPr="009472D1"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F94" w:rsidRDefault="00A35F94" w:rsidP="00730CA1">
      <w:pPr>
        <w:spacing w:after="0" w:line="240" w:lineRule="auto"/>
      </w:pPr>
      <w:r>
        <w:separator/>
      </w:r>
    </w:p>
  </w:endnote>
  <w:endnote w:type="continuationSeparator" w:id="0">
    <w:p w:rsidR="00A35F94" w:rsidRDefault="00A35F94"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1AF" w:rsidRPr="003C61AF" w:rsidRDefault="003C61AF" w:rsidP="003C61AF">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3C61AF" w:rsidRPr="003C61AF" w:rsidRDefault="003C61AF" w:rsidP="003C61AF">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hint="cs"/>
        <w:b/>
        <w:bCs/>
        <w:color w:val="000080"/>
        <w:spacing w:val="6"/>
        <w:sz w:val="24"/>
        <w:szCs w:val="24"/>
        <w:rtl/>
      </w:rPr>
      <w:t xml:space="preserve">בית משפט העליון רח' שערי משפט, </w:t>
    </w:r>
    <w:proofErr w:type="spellStart"/>
    <w:r w:rsidRPr="003C61AF">
      <w:rPr>
        <w:rFonts w:ascii="Times New Roman" w:eastAsia="Times New Roman" w:hAnsi="Times New Roman" w:cs="FrankRuehl" w:hint="cs"/>
        <w:b/>
        <w:bCs/>
        <w:color w:val="000080"/>
        <w:spacing w:val="6"/>
        <w:sz w:val="24"/>
        <w:szCs w:val="24"/>
        <w:rtl/>
      </w:rPr>
      <w:t>קרית</w:t>
    </w:r>
    <w:proofErr w:type="spellEnd"/>
    <w:r w:rsidRPr="003C61AF">
      <w:rPr>
        <w:rFonts w:ascii="Times New Roman" w:eastAsia="Times New Roman" w:hAnsi="Times New Roman" w:cs="FrankRuehl" w:hint="cs"/>
        <w:b/>
        <w:bCs/>
        <w:color w:val="000080"/>
        <w:spacing w:val="6"/>
        <w:sz w:val="24"/>
        <w:szCs w:val="24"/>
        <w:rtl/>
      </w:rPr>
      <w:t xml:space="preserve"> בן גוריון, ירושלים</w:t>
    </w:r>
  </w:p>
  <w:p w:rsidR="003C61AF" w:rsidRPr="003C61AF" w:rsidRDefault="003C61AF" w:rsidP="003C61AF">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F94" w:rsidRDefault="00A35F94" w:rsidP="00730CA1">
      <w:pPr>
        <w:spacing w:after="0" w:line="240" w:lineRule="auto"/>
      </w:pPr>
      <w:r>
        <w:separator/>
      </w:r>
    </w:p>
  </w:footnote>
  <w:footnote w:type="continuationSeparator" w:id="0">
    <w:p w:rsidR="00A35F94" w:rsidRDefault="00A35F94"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7D7" w:rsidRPr="009472D1" w:rsidRDefault="009472D1" w:rsidP="009472D1">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anchor distT="0" distB="0" distL="114300" distR="114300" simplePos="0" relativeHeight="251658240" behindDoc="0" locked="0" layoutInCell="1" allowOverlap="1">
          <wp:simplePos x="0" y="0"/>
          <wp:positionH relativeFrom="column">
            <wp:posOffset>2319020</wp:posOffset>
          </wp:positionH>
          <wp:positionV relativeFrom="paragraph">
            <wp:posOffset>-74930</wp:posOffset>
          </wp:positionV>
          <wp:extent cx="523875" cy="619125"/>
          <wp:effectExtent l="0" t="0" r="9525" b="9525"/>
          <wp:wrapTopAndBottom/>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anchor>
      </w:drawing>
    </w:r>
    <w:r>
      <w:rPr>
        <w:rFonts w:ascii="Century" w:eastAsia="Times New Roman" w:hAnsi="Century" w:cs="FrankRuehl" w:hint="cs"/>
        <w:noProof/>
        <w:spacing w:val="10"/>
        <w:sz w:val="20"/>
        <w:szCs w:val="28"/>
        <w:rtl/>
        <w:lang w:eastAsia="he-IL"/>
      </w:rPr>
      <w:t>בית המשפט העליון</w:t>
    </w:r>
    <w:r w:rsidR="005253B2" w:rsidRPr="005253B2">
      <w:rPr>
        <w:rFonts w:ascii="Century" w:eastAsia="Times New Roman" w:hAnsi="Century" w:cs="FrankRuehl" w:hint="cs"/>
        <w:noProof/>
        <w:spacing w:val="10"/>
        <w:sz w:val="20"/>
        <w:szCs w:val="28"/>
        <w:rtl/>
        <w:lang w:eastAsia="he-I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1" w15:restartNumberingAfterBreak="0">
    <w:nsid w:val="08A6001B"/>
    <w:multiLevelType w:val="hybridMultilevel"/>
    <w:tmpl w:val="B2C4B5E4"/>
    <w:lvl w:ilvl="0" w:tplc="C2444DF6">
      <w:start w:val="1"/>
      <w:numFmt w:val="decimal"/>
      <w:pStyle w:val="Ruller4"/>
      <w:lvlText w:val="%1."/>
      <w:lvlJc w:val="left"/>
      <w:pPr>
        <w:tabs>
          <w:tab w:val="num" w:pos="907"/>
        </w:tabs>
        <w:ind w:left="0" w:firstLine="0"/>
      </w:pPr>
      <w:rPr>
        <w:rFonts w:hint="default"/>
      </w:rPr>
    </w:lvl>
    <w:lvl w:ilvl="1" w:tplc="450C4224" w:tentative="1">
      <w:start w:val="1"/>
      <w:numFmt w:val="lowerLetter"/>
      <w:lvlText w:val="%2."/>
      <w:lvlJc w:val="left"/>
      <w:pPr>
        <w:tabs>
          <w:tab w:val="num" w:pos="1440"/>
        </w:tabs>
        <w:ind w:left="1440" w:hanging="360"/>
      </w:pPr>
    </w:lvl>
    <w:lvl w:ilvl="2" w:tplc="DA94D76E" w:tentative="1">
      <w:start w:val="1"/>
      <w:numFmt w:val="lowerRoman"/>
      <w:lvlText w:val="%3."/>
      <w:lvlJc w:val="right"/>
      <w:pPr>
        <w:tabs>
          <w:tab w:val="num" w:pos="2160"/>
        </w:tabs>
        <w:ind w:left="2160" w:hanging="180"/>
      </w:pPr>
    </w:lvl>
    <w:lvl w:ilvl="3" w:tplc="0FEC4E44" w:tentative="1">
      <w:start w:val="1"/>
      <w:numFmt w:val="decimal"/>
      <w:lvlText w:val="%4."/>
      <w:lvlJc w:val="left"/>
      <w:pPr>
        <w:tabs>
          <w:tab w:val="num" w:pos="2880"/>
        </w:tabs>
        <w:ind w:left="2880" w:hanging="360"/>
      </w:pPr>
    </w:lvl>
    <w:lvl w:ilvl="4" w:tplc="DE6EAB02" w:tentative="1">
      <w:start w:val="1"/>
      <w:numFmt w:val="lowerLetter"/>
      <w:lvlText w:val="%5."/>
      <w:lvlJc w:val="left"/>
      <w:pPr>
        <w:tabs>
          <w:tab w:val="num" w:pos="3600"/>
        </w:tabs>
        <w:ind w:left="3600" w:hanging="360"/>
      </w:pPr>
    </w:lvl>
    <w:lvl w:ilvl="5" w:tplc="D69CB73C" w:tentative="1">
      <w:start w:val="1"/>
      <w:numFmt w:val="lowerRoman"/>
      <w:lvlText w:val="%6."/>
      <w:lvlJc w:val="right"/>
      <w:pPr>
        <w:tabs>
          <w:tab w:val="num" w:pos="4320"/>
        </w:tabs>
        <w:ind w:left="4320" w:hanging="180"/>
      </w:pPr>
    </w:lvl>
    <w:lvl w:ilvl="6" w:tplc="EE12C608" w:tentative="1">
      <w:start w:val="1"/>
      <w:numFmt w:val="decimal"/>
      <w:lvlText w:val="%7."/>
      <w:lvlJc w:val="left"/>
      <w:pPr>
        <w:tabs>
          <w:tab w:val="num" w:pos="5040"/>
        </w:tabs>
        <w:ind w:left="5040" w:hanging="360"/>
      </w:pPr>
    </w:lvl>
    <w:lvl w:ilvl="7" w:tplc="9B3246F6" w:tentative="1">
      <w:start w:val="1"/>
      <w:numFmt w:val="lowerLetter"/>
      <w:lvlText w:val="%8."/>
      <w:lvlJc w:val="left"/>
      <w:pPr>
        <w:tabs>
          <w:tab w:val="num" w:pos="5760"/>
        </w:tabs>
        <w:ind w:left="5760" w:hanging="360"/>
      </w:pPr>
    </w:lvl>
    <w:lvl w:ilvl="8" w:tplc="D612F9E4"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86BD7"/>
    <w:rsid w:val="001D42A7"/>
    <w:rsid w:val="002453CF"/>
    <w:rsid w:val="002C0E83"/>
    <w:rsid w:val="003921C3"/>
    <w:rsid w:val="003C61AF"/>
    <w:rsid w:val="003E6E39"/>
    <w:rsid w:val="003E7EB7"/>
    <w:rsid w:val="00426AA7"/>
    <w:rsid w:val="00515986"/>
    <w:rsid w:val="005253B2"/>
    <w:rsid w:val="00631744"/>
    <w:rsid w:val="00690B6F"/>
    <w:rsid w:val="006B7B96"/>
    <w:rsid w:val="006C3B1F"/>
    <w:rsid w:val="006F1E1F"/>
    <w:rsid w:val="007007D7"/>
    <w:rsid w:val="00711675"/>
    <w:rsid w:val="00730CA1"/>
    <w:rsid w:val="007B7899"/>
    <w:rsid w:val="00832AD7"/>
    <w:rsid w:val="008C02E0"/>
    <w:rsid w:val="00930C70"/>
    <w:rsid w:val="009472D1"/>
    <w:rsid w:val="00983123"/>
    <w:rsid w:val="009E5C0E"/>
    <w:rsid w:val="00A35F94"/>
    <w:rsid w:val="00A50E29"/>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F13B6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 w:type="paragraph" w:customStyle="1" w:styleId="Ruller40">
    <w:name w:val="Ruller4"/>
    <w:basedOn w:val="a"/>
    <w:link w:val="Ruller41"/>
    <w:qFormat/>
    <w:rsid w:val="009472D1"/>
    <w:pPr>
      <w:tabs>
        <w:tab w:val="left" w:pos="800"/>
      </w:tabs>
      <w:overflowPunct w:val="0"/>
      <w:autoSpaceDE w:val="0"/>
      <w:autoSpaceDN w:val="0"/>
      <w:adjustRightInd w:val="0"/>
      <w:spacing w:after="0" w:line="360" w:lineRule="auto"/>
      <w:jc w:val="both"/>
      <w:textAlignment w:val="baseline"/>
    </w:pPr>
    <w:rPr>
      <w:rFonts w:ascii="Arial TUR" w:eastAsia="Times New Roman" w:hAnsi="Arial TUR" w:cs="FrankRuehl"/>
      <w:spacing w:val="10"/>
      <w:szCs w:val="28"/>
    </w:rPr>
  </w:style>
  <w:style w:type="paragraph" w:customStyle="1" w:styleId="Ruller4">
    <w:name w:val="Ruller 4 ממוספר"/>
    <w:basedOn w:val="Ruller40"/>
    <w:next w:val="Ruller40"/>
    <w:link w:val="Ruller42"/>
    <w:rsid w:val="009472D1"/>
    <w:pPr>
      <w:numPr>
        <w:numId w:val="3"/>
      </w:numPr>
      <w:tabs>
        <w:tab w:val="clear" w:pos="907"/>
        <w:tab w:val="num" w:pos="454"/>
      </w:tabs>
      <w:ind w:left="454" w:hanging="454"/>
    </w:pPr>
    <w:rPr>
      <w:rFonts w:ascii="Garamond" w:hAnsi="Garamond"/>
      <w:sz w:val="24"/>
    </w:rPr>
  </w:style>
  <w:style w:type="character" w:customStyle="1" w:styleId="Ruller42">
    <w:name w:val="Ruller 4 ממוספר תו"/>
    <w:link w:val="Ruller4"/>
    <w:locked/>
    <w:rsid w:val="009472D1"/>
    <w:rPr>
      <w:rFonts w:ascii="Garamond" w:eastAsia="Times New Roman" w:hAnsi="Garamond" w:cs="FrankRuehl"/>
      <w:spacing w:val="10"/>
      <w:sz w:val="24"/>
      <w:szCs w:val="28"/>
    </w:rPr>
  </w:style>
  <w:style w:type="character" w:customStyle="1" w:styleId="Ruller41">
    <w:name w:val="Ruller4 תו"/>
    <w:link w:val="Ruller40"/>
    <w:locked/>
    <w:rsid w:val="009472D1"/>
    <w:rPr>
      <w:rFonts w:ascii="Arial TUR" w:eastAsia="Times New Roman" w:hAnsi="Arial TUR" w:cs="FrankRuehl"/>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87A74B97-F1BE-47C9-9547-5DCEED183EA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440</Words>
  <Characters>2203</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2023-06-18T07:36:00Z</dcterms:created>
  <dcterms:modified xsi:type="dcterms:W3CDTF">2023-06-18T07:36:00Z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07 במרץ 2023</vt:lpwstr>
  </property>
  <property fmtid="{D5CDD505-2E9C-101B-9397-08002B2CF9AE}" pid="3" name="DocDateHeb">
    <vt:lpwstr>י"ד באדר תשפ"ג</vt:lpwstr>
  </property>
  <property fmtid="{D5CDD505-2E9C-101B-9397-08002B2CF9AE}" pid="4" name="DocNumber">
    <vt:lpwstr>4700-1039-2023-002842</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ברע"א 7706/22</vt:lpwstr>
  </property>
</Properties>
</file>